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r>
        <w:rPr>
          <w:rStyle w:val="StrongEmphasis"/>
          <w:rFonts w:ascii="Cambria;Georgia;Times New Roman;Times;serif" w:hAnsi="Cambria;Georgia;Times New Roman;Times;serif"/>
          <w:b w:val="false"/>
          <w:i w:val="false"/>
          <w:caps w:val="false"/>
          <w:smallCaps w:val="false"/>
          <w:color w:val="000000"/>
          <w:spacing w:val="0"/>
          <w:sz w:val="24"/>
        </w:rPr>
        <w:t>La grotte d’Oum Qatafa, au Sud-Est de Jérusalem, a été fouillée par Neuville (1931). La faune a été étudiée par Vaufey (in Neuvile 1931).</w:t>
      </w:r>
      <w:r>
        <w:rPr>
          <w:rStyle w:val="StrongEmphasis"/>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Style w:val="StrongEmphasis"/>
          <w:rFonts w:ascii="Cambria;Georgia;Times New Roman;Times;serif" w:hAnsi="Cambria;Georgia;Times New Roman;Times;serif"/>
          <w:b w:val="false"/>
          <w:i w:val="false"/>
          <w:caps w:val="false"/>
          <w:smallCaps w:val="false"/>
          <w:color w:val="000000"/>
          <w:spacing w:val="0"/>
          <w:sz w:val="24"/>
        </w:rPr>
        <w:br/>
        <w:t>Une partie du matériel serait conservée à l’Institut de Paléontologie Humaine à Paris mais je n’ai pas réussi à la retrouver.</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Stratigraphie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Couche A, Eneolithique, terre noire, faune actuelle, foyers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Bronze en A2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Couche B</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Argile, calcaire gris, Rongeurs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Couche C</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Argile, calcaire brun, Rongeurs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Couche D</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Argile brun clair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D1, Paleolitique (cf. La Micoque), nombreux os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D2, Stalactites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Couche 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Acheuléen supérieur, marnes vert-jaune, pas de foyers, faune abondante, froid et humide.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Une partie distale d’un tibia gauche, un calcaneum gauche and un astragale gauche proviennent de la couche E2. De la màªme couche viennent une dP4 supérieure et une inférieure presque vierges. A part une incisive lactéale (supérieure ?) avec cornet trouvée en E2/3, tous ces fossiles sont grands. L’astragale ressemble à ceux de Gomboré II (Melka Kunturé, Ethiopie).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dents de la couche D appartenaient sans doute à un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plus petit. Les germes de molaires OK 14 et OK 15, probablement associés, ont été sectionnées à mi-hauteur ; leurs ectoflexides sont profonds, à la différence des Anes modernes.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Trois spécimens sont très petits : la molaire supérieure OK 13, et les fragments supérieurs OK 11 and OK 12 ; on peut les attribuer à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hydruntinus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Une belle prémolaire, OK 5, ressemble à celles d’</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un Ane fossile (Eisenmann, 2006). Sa provenance exacte est inconnue.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Références</w:t>
      </w:r>
    </w:p>
    <w:p>
      <w:pPr>
        <w:pStyle w:val="TextBody"/>
        <w:widowControl/>
        <w:pBdr/>
        <w:bidi w:val="0"/>
        <w:spacing w:before="0" w:after="0"/>
        <w:ind w:left="0" w:right="0" w:hanging="0"/>
        <w:jc w:val="left"/>
        <w:rPr/>
      </w:pPr>
      <w:hyperlink r:id="rId16">
        <w:r>
          <w:rPr>
            <w:rStyle w:val="InternetLink"/>
            <w:rFonts w:ascii="Cambria;Georgia;Times New Roman;Times;serif" w:hAnsi="Cambria;Georgia;Times New Roman;Times;serif"/>
            <w:b w:val="false"/>
            <w:i w:val="false"/>
            <w:caps w:val="false"/>
            <w:smallCaps w:val="false"/>
            <w:color w:val="000000"/>
            <w:spacing w:val="0"/>
            <w:sz w:val="24"/>
            <w:u w:val="single"/>
          </w:rPr>
          <w:t>151.Pliocene and Pleistocene Equids : Paleontology versus Molecular Biology.</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Neuville R. 1931. L’Acheuléen supérieur de la grotte d’Oum Qatafa (Palestine). L’Anthroplogie, XLI.</w:t>
      </w: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hyperlink" Target="https://vera-eisenmann.com/ecrire/?exec=article&amp;id_article=1120" TargetMode="Externa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4204</TotalTime>
  <Application>LibreOffice/7.4.3.2$Windows_X86_64 LibreOffice_project/1048a8393ae2eeec98dff31b5c133c5f1d08b890</Application>
  <AppVersion>15.0000</AppVersion>
  <Pages>1</Pages>
  <Words>268</Words>
  <Characters>1434</Characters>
  <CharactersWithSpaces>1711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2024-08-02T14:59:25Z</dcterms:modified>
  <cp:revision>56</cp:revision>
  <dc:subject/>
  <dc:title/>
</cp:coreProperties>
</file>